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941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Систематическое страхование разных партий однородного имущества (товаров, грузов и т.п.) на сходных условиях в течение определенного срока может по соглашению страхователя со страховщиком осуществляться на основании одного договора страхования - генерального полиса.</w:t>
      </w:r>
    </w:p>
    <w:p>
      <w:pPr>
        <w:spacing w:after="120"/>
        <w:ind w:firstLine="709"/>
      </w:pPr>
      <w:r>
        <w:rPr>
          <w:sz w:val="24"/>
        </w:rPr>
        <w:t xml:space="preserve">2. Страхователь обязан в отношении каждой партии имущества, подпадающей под действие генерального полиса, сообщать страховщику обусловленные таким полисом сведения в предусмотренный им срок, а если он не предусмотрен, немедленно по их получении. Страхователь не освобождается от этой обязанности, даже если к моменту получения таких сведений возможность убытков, подлежащих возмещению страховщиком, уже миновала.</w:t>
      </w:r>
    </w:p>
    <w:p>
      <w:pPr>
        <w:spacing w:after="120"/>
        <w:ind w:firstLine="709"/>
      </w:pPr>
      <w:r>
        <w:rPr>
          <w:sz w:val="24"/>
        </w:rPr>
        <w:t xml:space="preserve">3. По требованию страхователя страховщик обязан выдавать страховые полисы по отдельным партиям имущества, подпадающим под действие генерального полиса.</w:t>
      </w:r>
    </w:p>
    <w:p>
      <w:pPr>
        <w:spacing w:after="120"/>
        <w:ind w:firstLine="709"/>
      </w:pPr>
      <w:r>
        <w:rPr>
          <w:sz w:val="24"/>
        </w:rPr>
        <w:t xml:space="preserve">В случае несоответствия содержания страхового полиса генеральному полису предпочтение отдается страховому полису.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941</dc:title>
  <dc:creator>АРБИТРАЖ! · arbi.ru</dc:creator>
  <cp:lastModifiedBy>АРБИТРАЖ!</cp:lastModifiedBy>
  <dcterms:created xsi:type="dcterms:W3CDTF">2026-10-22T22:04:23.318Z</dcterms:created>
</cp:coreProperties>
</file>