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заключении договора страхования имущества страховщик вправе произвести осмотр страхуемого имущества, а при необходимости назначить экспертизу в целях установления его действительной стоимости .</w:t>
      </w:r>
    </w:p>
    <w:p>
      <w:pPr>
        <w:spacing w:after="120"/>
        <w:ind w:firstLine="709"/>
      </w:pPr>
      <w:r>
        <w:rPr>
          <w:sz w:val="24"/>
        </w:rPr>
        <w:t xml:space="preserve">2. При заключении договора личного страхования страховщик вправе провести обследование страхуемого лица для оценки фактического состояния его здоровья.</w:t>
      </w:r>
    </w:p>
    <w:p>
      <w:pPr>
        <w:spacing w:after="120"/>
        <w:ind w:firstLine="709"/>
      </w:pPr>
      <w:r>
        <w:rPr>
          <w:sz w:val="24"/>
        </w:rPr>
        <w:t xml:space="preserve">3. Оценка страхового риска страховщиком на основании настоящей статьи необязательна для страхователя, который вправе доказывать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945</dc:title>
  <dc:creator>АРБИТРАЖ! · arbi.ru</dc:creator>
  <cp:lastModifiedBy>АРБИТРАЖ!</cp:lastModifiedBy>
  <dcterms:created xsi:type="dcterms:W3CDTF">2026-10-22T20:25:11.823Z</dcterms:created>
</cp:coreProperties>
</file>