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Сумма ,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(страховая сумма), определяется соглашением страхователя со страховщиком в соответствии с правилами,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При страховании имущества или предпринимательского риска, если договором страхования не предусмотрено иное, страховая сумма не должна превышать их действительную стоимость (страховой стоимости). Такой стоимостью считается:</w:t>
      </w:r>
    </w:p>
    <w:p>
      <w:pPr>
        <w:spacing w:after="120"/>
        <w:ind w:firstLine="709"/>
      </w:pPr>
      <w:r>
        <w:rPr>
          <w:sz w:val="24"/>
        </w:rPr>
        <w:t xml:space="preserve">для имущества его действительная стоимость в месте его нахождения в день заключения договора страхования;</w:t>
      </w:r>
    </w:p>
    <w:p>
      <w:pPr>
        <w:spacing w:after="120"/>
        <w:ind w:firstLine="709"/>
      </w:pPr>
      <w:r>
        <w:rPr>
          <w:sz w:val="24"/>
        </w:rPr>
        <w:t xml:space="preserve">для предпринимательского риска убытки от предпринимательской деятельности, которые страхователь, как можно ожидать, понес бы при наступлении страхового случая.</w:t>
      </w:r>
    </w:p>
    <w:p>
      <w:pPr>
        <w:spacing w:after="120"/>
        <w:ind w:firstLine="709"/>
      </w:pPr>
      <w:r>
        <w:rPr>
          <w:sz w:val="24"/>
        </w:rPr>
        <w:t xml:space="preserve">3. В договорах личного страхования и договорах страхования гражданской ответственности страховая сумма определяется сторонами по их усмотрению.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947</dc:title>
  <dc:creator>АРБИТРАЖ! · arbi.ru</dc:creator>
  <cp:lastModifiedBy>АРБИТРАЖ!</cp:lastModifiedBy>
  <dcterms:created xsi:type="dcterms:W3CDTF">2026-10-22T22:36:50.026Z</dcterms:created>
</cp:coreProperties>
</file>