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949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Страхователь, чье недвижимое имущество пострадало в результате пожара, хочет взыскать страховое возмещение в полном объеме</w:t>
      </w:r>
    </w:p>
    <w:p>
      <w:pPr>
        <w:spacing w:after="120"/>
        <w:ind w:firstLine="709"/>
      </w:pPr>
      <w:r>
        <w:rPr>
          <w:sz w:val="24"/>
        </w:rPr>
        <w:t xml:space="preserve">Если в договоре страхования имущества или предпринимательского риска страховая сумма установлена ниже страховой стоимости, страховщик при наступлении страхового случая обязан возместить страхователю (выгодоприобретателю) часть понесенных последним убытков пропорционально отношению страховой суммы к страховой стоимости.</w:t>
      </w:r>
    </w:p>
    <w:p>
      <w:pPr>
        <w:spacing w:after="120"/>
        <w:ind w:firstLine="709"/>
      </w:pPr>
      <w:r>
        <w:rPr>
          <w:sz w:val="24"/>
        </w:rPr>
        <w:t xml:space="preserve">Договором может быть предусмотрен более высокий размер страхового возмещения, но не выше страховой стоимости.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949</dc:title>
  <dc:creator>АРБИТРАЖ! · arbi.ru</dc:creator>
  <cp:lastModifiedBy>АРБИТРАЖ!</cp:lastModifiedBy>
  <dcterms:created xsi:type="dcterms:W3CDTF">2026-10-22T22:36:41.509Z</dcterms:created>
</cp:coreProperties>
</file>