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когда имущество или предпринимательский риск застрахованы лишь в части страховой стоимости, страхователь (выгодоприобретатель) вправе осуществить дополнительное страхование, в том числе у другого страховщика, но с тем, чтобы общая страховая сумма по всем договорам страхования не превышала страховую стоимость.</w:t>
      </w:r>
    </w:p>
    <w:p>
      <w:pPr>
        <w:spacing w:after="120"/>
        <w:ind w:firstLine="709"/>
      </w:pPr>
      <w:r>
        <w:rPr>
          <w:sz w:val="24"/>
        </w:rPr>
        <w:t xml:space="preserve">2. Несоблюдение положений пункта 1 настоящей статьи влечет последствия, предусмотренные пунктом 4 статьи 951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950</dc:title>
  <dc:creator>АРБИТРАЖ! · arbi.ru</dc:creator>
  <cp:lastModifiedBy>АРБИТРАЖ!</cp:lastModifiedBy>
  <dcterms:created xsi:type="dcterms:W3CDTF">2026-10-22T20:25:32.105Z</dcterms:created>
</cp:coreProperties>
</file>