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952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 и предпринимательский риск могут быть застрахованы от разных страховых рисков как по одному, так и по отдельным договорам страхования, в том числе по договорам с разными страховщиками.</w:t>
      </w:r>
    </w:p>
    <w:p>
      <w:pPr>
        <w:spacing w:after="120"/>
        <w:ind w:firstLine="709"/>
      </w:pPr>
      <w:r>
        <w:rPr>
          <w:sz w:val="24"/>
        </w:rPr>
        <w:t xml:space="preserve">В этих случаях допускается превышение размера общей страховой суммы по всем договорам над страховой стоимостью.</w:t>
      </w:r>
    </w:p>
    <w:p>
      <w:pPr>
        <w:spacing w:after="120"/>
        <w:ind w:firstLine="709"/>
      </w:pPr>
      <w:r>
        <w:rPr>
          <w:sz w:val="24"/>
        </w:rPr>
        <w:t xml:space="preserve">2. Если из двух или нескольких договоров, заключенных в соответствии с пунктом 1 настоящей статьи, вытекает обязанность страховщиков выплатить страховое возмещение за одни и те же последствия наступления одного и того же страхового случая, к таким договорам в соответствующей части применяются правила, предусмотренные пунктом 4 статьи 951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952</dc:title>
  <dc:creator>АРБИТРАЖ! · arbi.ru</dc:creator>
  <cp:lastModifiedBy>АРБИТРАЖ!</cp:lastModifiedBy>
  <dcterms:created xsi:type="dcterms:W3CDTF">2026-10-22T22:04:24.322Z</dcterms:created>
</cp:coreProperties>
</file>