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955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48. Страхование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случае, когда по договору страхования риска ответственности за причинение вреда (статья 931) застрахована ответственность лица иного, чем страхователь, последний вправе, если иное не предусмотрено договором, в любое время до наступления страхового случая заменить это лицо другим, письменно уведомив об этом страховщика.</w:t>
      </w:r>
    </w:p>
    <w:p>
      <w:pPr>
        <w:spacing w:after="120"/>
        <w:ind w:firstLine="709"/>
      </w:pPr>
      <w:r>
        <w:rPr>
          <w:sz w:val="24"/>
        </w:rPr>
        <w:t xml:space="preserve">2. Застрахованное лицо, названное в договоре личного страхования, может быть заменено страхователем другим лицом лишь с согласия самого застрахованного лица и страховщика.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955</dc:title>
  <dc:creator>АРБИТРАЖ! · arbi.ru</dc:creator>
  <cp:lastModifiedBy>АРБИТРАЖ!</cp:lastModifiedBy>
  <dcterms:created xsi:type="dcterms:W3CDTF">2026-10-23T00:33:27.284Z</dcterms:created>
</cp:coreProperties>
</file>