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956 ГК РФ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признать договор уступки права требования (цессии)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Страхователь вправе заменить выгодоприобретателя, названного в договоре страхования, другим лицом, письменно уведомив об этом страховщика. Замена выгодоприобретателя по договору личного страхования, назначенного с согласия застрахованного лица (пункт 2 статьи 934) , допускается лишь с согласия этого лица.</w:t>
      </w:r>
    </w:p>
    <w:p>
      <w:pPr>
        <w:spacing w:after="120"/>
        <w:ind w:firstLine="709"/>
      </w:pPr>
      <w:r>
        <w:rPr>
          <w:sz w:val="24"/>
        </w:rPr>
        <w:t xml:space="preserve">Выгодоприобретатель не может быть заменен другим лицом после того, как он выполнил какую-либо из обязанностей по договору страхования или предъявил страховщику требование о выплате страхового возмещения или страховой суммы.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956</dc:title>
  <dc:creator>АРБИТРАЖ! · arbi.ru</dc:creator>
  <cp:lastModifiedBy>АРБИТРАЖ!</cp:lastModifiedBy>
  <dcterms:created xsi:type="dcterms:W3CDTF">2026-10-22T20:23:59.746Z</dcterms:created>
</cp:coreProperties>
</file>