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957 ГК РФ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признать договор незаключенным</w:t>
      </w:r>
    </w:p>
    <w:p>
      <w:pPr>
        <w:spacing w:after="120"/>
        <w:ind w:firstLine="709"/>
      </w:pPr>
      <w:r>
        <w:rPr>
          <w:sz w:val="24"/>
        </w:rPr>
        <w:t xml:space="preserve">1. Договор страхования, если в нем не предусмотрено иное, вступает в силу в момент уплаты страховой премии или первого ее взноса.</w:t>
      </w:r>
    </w:p>
    <w:p>
      <w:pPr>
        <w:spacing w:after="120"/>
        <w:ind w:firstLine="709"/>
      </w:pPr>
      <w:r>
        <w:rPr>
          <w:sz w:val="24"/>
        </w:rPr>
        <w:t xml:space="preserve">2. Страхование, обусловленное договором страхования, распространяется на страховые случаи, происшедшие после вступления договора страхования в силу, если в договоре не предусмотрен иной срок начала действия страхования.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957</dc:title>
  <dc:creator>АРБИТРАЖ! · arbi.ru</dc:creator>
  <cp:lastModifiedBy>АРБИТРАЖ!</cp:lastModifiedBy>
  <dcterms:created xsi:type="dcterms:W3CDTF">2026-10-22T08:04:59.306Z</dcterms:created>
</cp:coreProperties>
</file>