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переходе прав на застрахованное имущество от лица, в интересах которого был заключен договор страхования, к другому лицу права и обязанности по этому договору переходят к лицу, к которому перешли права на имущество, за исключением случаев принудительного изъятия имущества по основаниям, указанным в пункте 2 статьи 235 настоящего Кодекса, и отказа от права собственности (статья 236) .</w:t>
      </w:r>
    </w:p>
    <w:p>
      <w:pPr>
        <w:spacing w:after="120"/>
        <w:ind w:firstLine="709"/>
      </w:pPr>
      <w:r>
        <w:rPr>
          <w:sz w:val="24"/>
        </w:rPr>
        <w:t xml:space="preserve">Лицо, к которому перешли права на застрахованное имущество, должно незамедлительно письменно уведомить об этом страховщика.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960</dc:title>
  <dc:creator>АРБИТРАЖ! · arbi.ru</dc:creator>
  <cp:lastModifiedBy>АРБИТРАЖ!</cp:lastModifiedBy>
  <dcterms:created xsi:type="dcterms:W3CDTF">2026-10-22T20:24:27.534Z</dcterms:created>
</cp:coreProperties>
</file>