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выгодоприобретателя.</w:t>
      </w:r>
    </w:p>
    <w:p>
      <w:pPr>
        <w:spacing w:after="120"/>
        <w:ind w:firstLine="709"/>
      </w:pPr>
      <w:r>
        <w:rPr>
          <w:sz w:val="24"/>
        </w:rPr>
        <w:t xml:space="preserve">2.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здоровью, если вред причинен по вине ответственного за него лица.</w:t>
      </w:r>
    </w:p>
    <w:p>
      <w:pPr>
        <w:spacing w:after="120"/>
        <w:ind w:firstLine="709"/>
      </w:pPr>
      <w:r>
        <w:rPr>
          <w:sz w:val="24"/>
        </w:rPr>
        <w:t xml:space="preserve">3. Страховщик не освобождается от выплаты страховой суммы, которая по договору личного страхования подлежит выплате в случае смерти застрахованного лица, если его смерть наступила вследствие самоубийства и к этому времени договор страхования действовал уже не менее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963</dc:title>
  <dc:creator>АРБИТРАЖ! · arbi.ru</dc:creator>
  <cp:lastModifiedBy>АРБИТРАЖ!</cp:lastModifiedBy>
  <dcterms:created xsi:type="dcterms:W3CDTF">2026-10-22T19:07:04.017Z</dcterms:created>
</cp:coreProperties>
</file>