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963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Страховщик освобождается от выплаты страхового возмещения или страховой суммы, если страховой случай наступил вследствие умысла страхователя, выгодоприобретателя или застрахованного лица, за исключением случаев, предусмотренных пунктами 2 и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Законом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выгодоприобретателя.</w:t>
      </w:r>
    </w:p>
    <w:p>
      <w:pPr>
        <w:spacing w:after="120"/>
        <w:ind w:firstLine="709"/>
      </w:pPr>
      <w:r>
        <w:rPr>
          <w:sz w:val="24"/>
        </w:rPr>
        <w:t xml:space="preserve">2. Страховщик не освобождается от выплаты страхового возмещения по договору страхования гражданской ответственности за причинение вреда жизни или здоровью, если вред причинен по вине ответственного за него лица.</w:t>
      </w:r>
    </w:p>
    <w:p>
      <w:pPr>
        <w:spacing w:after="120"/>
        <w:ind w:firstLine="709"/>
      </w:pPr>
      <w:r>
        <w:rPr>
          <w:sz w:val="24"/>
        </w:rPr>
        <w:t xml:space="preserve">3. Страховщик не освобождается от выплаты страховой суммы, которая по договору личного страхования подлежит выплате в случае смерти застрахованного лица, если его смерть наступила вследствие самоубийства и к этому времени договор страхования действовал уже не менее двух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963</dc:title>
  <dc:creator>АРБИТРАЖ! · arbi.ru</dc:creator>
  <cp:lastModifiedBy>АРБИТРАЖ!</cp:lastModifiedBy>
  <dcterms:created xsi:type="dcterms:W3CDTF">2026-10-22T16:46:16.372Z</dcterms:created>
</cp:coreProperties>
</file>