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966</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48. Страхование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04.11.2007 N 251-ФЗ)</w:t>
      </w:r>
    </w:p>
    <w:p>
      <w:pPr>
        <w:spacing w:after="120"/>
        <w:ind w:firstLine="709"/>
      </w:pPr>
      <w:r>
        <w:rPr>
          <w:sz w:val="24"/>
        </w:rPr>
        <w:t xml:space="preserve">(см. текст в предыдущей редакции )</w:t>
      </w:r>
    </w:p>
    <w:p>
      <w:pPr>
        <w:spacing w:after="120"/>
        <w:ind w:firstLine="709"/>
      </w:pPr>
      <w:r>
        <w:rPr>
          <w:sz w:val="24"/>
        </w:rPr>
        <w:t xml:space="preserve">1. Срок исковой давности по требованиям, вытекающим из договора имущественного страхования, за исключением договора страхования риска ответственности по обязательствам, возникающим вследствие причинения вреда жизни, здоровью или имуществу других лиц, составляет два года.</w:t>
      </w:r>
    </w:p>
    <w:p>
      <w:pPr>
        <w:spacing w:after="120"/>
        <w:ind w:firstLine="709"/>
      </w:pPr>
      <w:r>
        <w:rPr>
          <w:sz w:val="24"/>
        </w:rPr>
        <w:t xml:space="preserve">2. Срок исковой давности по требованиям, вытекающим из договора страхования риска ответственности по обязательствам, возникающим вследствие причинения вреда жизни, здоровью или имуществу других лиц, составляет три года (статья 196)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966</dc:title>
  <dc:creator>АРБИТРАЖ! · arbi.ru</dc:creator>
  <cp:lastModifiedBy>АРБИТРАЖ!</cp:lastModifiedBy>
  <dcterms:created xsi:type="dcterms:W3CDTF">2026-10-22T22:46:37.081Z</dcterms:created>
</cp:coreProperties>
</file>