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жизни, здоровья и имущества государственных служащих определенных категорий.</w:t>
      </w:r>
    </w:p>
    <w:p>
      <w:pPr>
        <w:spacing w:after="120"/>
        <w:ind w:firstLine="709"/>
      </w:pPr>
      <w:r>
        <w:rPr>
          <w:sz w:val="24"/>
        </w:rPr>
        <w:t xml:space="preserve">Обязательное государственное страхование осуществляется за счет средств, выделяемых на эти цели из соответствующего бюджета министерствам и иным федеральным органам исполнительной власти (страхователям).</w:t>
      </w:r>
    </w:p>
    <w:p>
      <w:pPr>
        <w:spacing w:after="120"/>
        <w:ind w:firstLine="709"/>
      </w:pPr>
      <w:r>
        <w:rPr>
          <w:sz w:val="24"/>
        </w:rPr>
        <w:t xml:space="preserve">2.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(страховщиками) либо на основании договоров страхования, заключаемых в соответствии с этими актами страховщиками и страхователями.</w:t>
      </w:r>
    </w:p>
    <w:p>
      <w:pPr>
        <w:spacing w:after="120"/>
        <w:ind w:firstLine="709"/>
      </w:pPr>
      <w:r>
        <w:rPr>
          <w:sz w:val="24"/>
        </w:rPr>
        <w:t xml:space="preserve">3. Обязательное государственное страхование оплачивается страховщикам в размере, определенном законами и иными правовыми актами о таком страховании.</w:t>
      </w:r>
    </w:p>
    <w:p>
      <w:pPr>
        <w:spacing w:after="120"/>
        <w:ind w:firstLine="709"/>
      </w:pPr>
      <w:r>
        <w:rPr>
          <w:sz w:val="24"/>
        </w:rPr>
        <w:t xml:space="preserve">4. Правила, предусмотренные настоящей главой , применяются к обязательному государственному страхованию, если иное не предусмотрено законами и иными правовыми актами о таком страховании и не вытекает из существа соответствующих отношений по страхованию.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969</dc:title>
  <dc:creator>АРБИТРАЖ! · arbi.ru</dc:creator>
  <cp:lastModifiedBy>АРБИТРАЖ!</cp:lastModifiedBy>
  <dcterms:created xsi:type="dcterms:W3CDTF">2026-10-22T22:35:28.569Z</dcterms:created>
</cp:coreProperties>
</file>