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Действия без поручения, иного указания или заранее обещанного согласия заинтересованного лица в целях предотвращения вреда его личности или имуществу, исполнения его обязательства или в его иных непротивоправных интересах (действия в чужом интересе)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осмотрительностью.</w:t>
      </w:r>
    </w:p>
    <w:p>
      <w:pPr>
        <w:spacing w:after="120"/>
        <w:ind w:firstLine="709"/>
      </w:pPr>
      <w:r>
        <w:rPr>
          <w:sz w:val="24"/>
        </w:rPr>
        <w:t xml:space="preserve">2. Правила, предусмотренные настоящей главой, не применяются к действиям в интересе других лиц, совершаемым государственными и муниципальными органами, для которых такие действия являются одной из целей их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980</dc:title>
  <dc:creator>АРБИТРАЖ! · arbi.ru</dc:creator>
  <cp:lastModifiedBy>АРБИТРАЖ!</cp:lastModifiedBy>
  <dcterms:created xsi:type="dcterms:W3CDTF">2026-10-22T10:02:36.567Z</dcterms:created>
</cp:coreProperties>
</file>