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981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50. Действия в чужом интересе без поручения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Лицо, действующее в чужом интересе, обязано при первой возможности сообщить об этом заинтересованному лицу и выждать в течение разумного срока его решения об одобрении или о неодобрении предпринятых действий, если только такое ожидание не повлечет серьезный ущерб для заинтересованного лица.</w:t>
      </w:r>
    </w:p>
    <w:p>
      <w:pPr>
        <w:spacing w:after="120"/>
        <w:ind w:firstLine="709"/>
      </w:pPr>
      <w:r>
        <w:rPr>
          <w:sz w:val="24"/>
        </w:rPr>
        <w:t xml:space="preserve">2. Не требуется специально сообщать заинтересованному гражданину о действиях в его интересе, если эти действия предпринимаются в его присутствии.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981</dc:title>
  <dc:creator>АРБИТРАЖ! · arbi.ru</dc:creator>
  <cp:lastModifiedBy>АРБИТРАЖ!</cp:lastModifiedBy>
  <dcterms:created xsi:type="dcterms:W3CDTF">2026-10-22T15:09:56.234Z</dcterms:created>
</cp:coreProperties>
</file>