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Необходимые расходы и иной реальный ущерб, понесенные лицом, действовавшим в чужом интересе в соответствии с правилами, предусмотренными настоящей главой, подлежат возмещению заинтересованным лицом, за исключением расходов, которые вызваны действиями, указанными в пункте 1 статьи 983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Право на возмещение необходимых расходов и иного реального ущерба сохраняется и в том случае, когда действия в чужом интересе не привели к предполагаемому результату. Однако в случае предотвращения ущерба имуществу другого лица размер возмещения не должен превышать стоимость имущества.</w:t>
      </w:r>
    </w:p>
    <w:p>
      <w:pPr>
        <w:spacing w:after="120"/>
        <w:ind w:firstLine="709"/>
      </w:pPr>
      <w:r>
        <w:rPr>
          <w:sz w:val="24"/>
        </w:rPr>
        <w:t xml:space="preserve">2. Расходы и иные убытки лица, действовавшего в чужом интересе, понесенные им в связи с действиями, которые предприняты после получения одобрения от заинтересованного лица (статья 982) , возмещаются по правилам о договоре соответствующего вида.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984</dc:title>
  <dc:creator>АРБИТРАЖ! · arbi.ru</dc:creator>
  <cp:lastModifiedBy>АРБИТРАЖ!</cp:lastModifiedBy>
  <dcterms:created xsi:type="dcterms:W3CDTF">2026-10-22T22:48:11.416Z</dcterms:created>
</cp:coreProperties>
</file>