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986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50. Действия в чужом интересе без поручения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Обязанности по сделке, заключенной в чужом интересе, переходят к лицу, в интересах которого она совершена, при условии одобрения им этой сделки и если другая сторона не возражает против такого перехода либо при заключении сделки знала или должна была знать о том, что сделка заключена в чужом интересе.</w:t>
      </w:r>
    </w:p>
    <w:p>
      <w:pPr>
        <w:spacing w:after="120"/>
        <w:ind w:firstLine="709"/>
      </w:pPr>
      <w:r>
        <w:rPr>
          <w:sz w:val="24"/>
        </w:rPr>
        <w:t xml:space="preserve">При переходе обязанностей по такой сделке к лицу, в интересах которого она была заключена, последнему должны быть переданы и права по этой сделке.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986</dc:title>
  <dc:creator>АРБИТРАЖ! · arbi.ru</dc:creator>
  <cp:lastModifiedBy>АРБИТРАЖ!</cp:lastModifiedBy>
  <dcterms:created xsi:type="dcterms:W3CDTF">2026-10-23T00:00:19.057Z</dcterms:created>
</cp:coreProperties>
</file>