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994 ГК РФ</w:t>
      </w:r>
    </w:p>
    <w:p>
      <w:pPr>
        <w:spacing w:after="120"/>
        <w:ind w:firstLine="709"/>
      </w:pPr>
      <w:r>
        <w:rPr>
          <w:sz w:val="24"/>
        </w:rPr>
        <w:t xml:space="preserve">- Ответственность комиссионера за действия субкомиссионера при отсутствии в договоре комиссии условия о делькредере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комиссии, комиссионер вправе в целях исполнения этого договора заключить договор субкомиссии с другим лицом, оставаясь ответственным за действия субкомиссионера перед комитентом.</w:t>
      </w:r>
    </w:p>
    <w:p>
      <w:pPr>
        <w:spacing w:after="120"/>
        <w:ind w:firstLine="709"/>
      </w:pPr>
      <w:r>
        <w:rPr>
          <w:sz w:val="24"/>
        </w:rPr>
        <w:t xml:space="preserve">По договору субкомиссии комиссионер приобретает в отношении субкомиссионера права и обязанности комитента.</w:t>
      </w:r>
    </w:p>
    <w:p>
      <w:pPr>
        <w:spacing w:after="120"/>
        <w:ind w:firstLine="709"/>
      </w:pPr>
      <w:r>
        <w:rPr>
          <w:sz w:val="24"/>
        </w:rPr>
        <w:t xml:space="preserve">2. До прекращения договора комиссии комитент не вправе без согласия комиссионера вступать в непосредственные отношения с субкомиссионером, если иное не предусмотрено договором комиссии.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994</dc:title>
  <dc:creator>АРБИТРАЖ! · arbi.ru</dc:creator>
  <cp:lastModifiedBy>АРБИТРАЖ!</cp:lastModifiedBy>
  <dcterms:created xsi:type="dcterms:W3CDTF">2026-10-22T13:35:12.231Z</dcterms:created>
</cp:coreProperties>
</file>