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996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51. Комиссия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996 ГК РФ</w:t>
      </w:r>
    </w:p>
    <w:p>
      <w:pPr>
        <w:spacing w:after="120"/>
        <w:ind w:firstLine="709"/>
      </w:pPr>
      <w:r>
        <w:rPr>
          <w:sz w:val="24"/>
        </w:rPr>
        <w:t xml:space="preserve">- Имеет ли комитент право собственности на вещи, которые будут приобретены комиссионером в будущем во исполнение договора комиссии</w:t>
      </w:r>
    </w:p>
    <w:p>
      <w:pPr>
        <w:spacing w:after="120"/>
        <w:ind w:firstLine="709"/>
      </w:pPr>
      <w:r>
        <w:rPr>
          <w:sz w:val="24"/>
        </w:rPr>
        <w:t xml:space="preserve">1. Вещи, поступившие к комиссионеру от комитента либо приобретенные комиссионером за счет комитента, являются собственностью последнего.</w:t>
      </w:r>
    </w:p>
    <w:p>
      <w:pPr>
        <w:spacing w:after="120"/>
        <w:ind w:firstLine="709"/>
      </w:pPr>
      <w:r>
        <w:rPr>
          <w:sz w:val="24"/>
        </w:rPr>
        <w:t xml:space="preserve">2. Комиссионер вправе в соответствии со статьей 359 настоящего Кодекса удерживать находящиеся у него вещи, которые подлежат передаче комитенту либо лицу, указанному комитентом, в обеспечение своих требований по договору комиссии.</w:t>
      </w:r>
    </w:p>
    <w:p>
      <w:pPr>
        <w:spacing w:after="120"/>
        <w:ind w:firstLine="709"/>
      </w:pPr>
      <w:r>
        <w:rPr>
          <w:sz w:val="24"/>
        </w:rPr>
        <w:t xml:space="preserve">В случае объявления комитента несостоятельным (банкротом) указанное право комиссионера прекращается, а его требования к комитенту в пределах стоимости вещей, которые он удерживал, удовлетворяются в соответствии со статьей 360 настоящего Кодекса наравне с требованиями, обеспеченными залогом.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996</dc:title>
  <dc:creator>АРБИТРАЖ! · arbi.ru</dc:creator>
  <cp:lastModifiedBy>АРБИТРАЖ!</cp:lastModifiedBy>
  <dcterms:created xsi:type="dcterms:W3CDTF">2026-10-22T20:24:16.507Z</dcterms:created>
</cp:coreProperties>
</file>