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997 ГК РФ</w:t>
      </w:r>
    </w:p>
    <w:p>
      <w:pPr>
        <w:spacing w:after="120"/>
        <w:ind w:firstLine="709"/>
      </w:pPr>
      <w:r>
        <w:rPr>
          <w:sz w:val="24"/>
        </w:rPr>
        <w:t xml:space="preserve">- Вправе ли комиссионер удержать причитающуюся ему по договору комиссии сумму, если соблюдены требования о прекращении обязательства зачетом</w:t>
      </w:r>
    </w:p>
    <w:p>
      <w:pPr>
        <w:spacing w:after="120"/>
        <w:ind w:firstLine="709"/>
      </w:pPr>
      <w:r>
        <w:rPr>
          <w:sz w:val="24"/>
        </w:rPr>
        <w:t xml:space="preserve">- Вправе ли комиссионер удерживать причитающиеся ему суммы из средств комитента, если договор комиссии заключен в рамках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997 ГК РФ</w:t>
      </w:r>
    </w:p>
    <w:p>
      <w:pPr>
        <w:spacing w:after="120"/>
        <w:ind w:firstLine="709"/>
      </w:pPr>
      <w:r>
        <w:rPr>
          <w:sz w:val="24"/>
        </w:rPr>
        <w:t xml:space="preserve">Комиссионер вправе в соответствии со статьей 410 настоящего Кодекса удержать причитающиеся ему по договору комиссии суммы из всех сумм, поступивших к нему за счет комитента. Однако кредиторы комитента, пользующиеся в отношении очередности удовлетворения их требований преимуществом перед залогодержателями, не лишаются права на удовлетворение этих требований из удержанных комиссионером сумм.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997</dc:title>
  <dc:creator>АРБИТРАЖ! · arbi.ru</dc:creator>
  <cp:lastModifiedBy>АРБИТРАЖ!</cp:lastModifiedBy>
  <dcterms:created xsi:type="dcterms:W3CDTF">2026-10-22T22:27:43.648Z</dcterms:created>
</cp:coreProperties>
</file>