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52. Агентирование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агентским договором, агент вправе в целях исполнения договора заключить субагентский договор с другим лицом, оставаясь ответственным за действия субагента перед принципалом.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договора.</w:t>
      </w:r>
    </w:p>
    <w:p>
      <w:pPr>
        <w:spacing w:after="120"/>
        <w:ind w:firstLine="709"/>
      </w:pPr>
      <w:r>
        <w:rPr>
          <w:sz w:val="24"/>
        </w:rPr>
        <w:t xml:space="preserve">2. Субагент не вправе заключать с третьими лицами сделки от имени лица, являющегося принципалом по агентскому договору, за исключением случаев, когда в соответствии с пунктом 1 статьи 187 настоящего Кодекса субагент может действовать на основе передоверия. Порядок и последствия такого передоверия определяются по правилам, предусмотренным статьей 976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1009</dc:title>
  <dc:creator>АРБИТРАЖ! · arbi.ru</dc:creator>
  <cp:lastModifiedBy>АРБИТРАЖ!</cp:lastModifiedBy>
  <dcterms:created xsi:type="dcterms:W3CDTF">2026-10-23T14:34:01.374Z</dcterms:created>
</cp:coreProperties>
</file>