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1014 ГК РФ</w:t>
      </w:r>
    </w:p>
    <w:p>
      <w:pPr>
        <w:spacing w:after="120"/>
        <w:ind w:firstLine="709"/>
      </w:pPr>
      <w:r>
        <w:rPr>
          <w:sz w:val="24"/>
        </w:rPr>
        <w:t xml:space="preserve">- Можно ли договор доверительного управления заключить не с собственником имущества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1014 ГК РФ</w:t>
      </w:r>
    </w:p>
    <w:p>
      <w:pPr>
        <w:spacing w:after="120"/>
        <w:ind w:firstLine="709"/>
      </w:pPr>
      <w:r>
        <w:rPr>
          <w:sz w:val="24"/>
        </w:rPr>
        <w:t xml:space="preserve">Учредителем доверительного управления является собственник имущества, а в случаях, предусмотренных статьей 1026 настоящего Кодекса, другое лицо.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1014</dc:title>
  <dc:creator>АРБИТРАЖ! · arbi.ru</dc:creator>
  <cp:lastModifiedBy>АРБИТРАЖ!</cp:lastModifiedBy>
  <dcterms:created xsi:type="dcterms:W3CDTF">2026-10-22T23:40:07.439Z</dcterms:created>
</cp:coreProperties>
</file>