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1016 ГК РФ</w:t>
      </w:r>
    </w:p>
    <w:p>
      <w:pPr>
        <w:spacing w:after="120"/>
        <w:ind w:firstLine="709"/>
      </w:pPr>
      <w:r>
        <w:rPr>
          <w:sz w:val="24"/>
        </w:rPr>
        <w:t xml:space="preserve">- Срок действия договора доверительного управления</w:t>
      </w:r>
    </w:p>
    <w:p>
      <w:pPr>
        <w:spacing w:after="120"/>
        <w:ind w:firstLine="709"/>
      </w:pPr>
      <w:r>
        <w:rPr>
          <w:sz w:val="24"/>
        </w:rPr>
        <w:t xml:space="preserve">- Согласование в договоре доверительного управления условия о вознаграждении управляющего</w:t>
      </w:r>
    </w:p>
    <w:p>
      <w:pPr>
        <w:spacing w:after="120"/>
        <w:ind w:firstLine="709"/>
      </w:pPr>
      <w:r>
        <w:rPr>
          <w:sz w:val="24"/>
        </w:rPr>
        <w:t xml:space="preserve">- Признается ли договор доверительного управления заключенным, если в нем отсутствуют данные, позволяющие определенно установить имущество</w:t>
      </w:r>
    </w:p>
    <w:p>
      <w:pPr>
        <w:spacing w:after="120"/>
        <w:ind w:firstLine="709"/>
      </w:pPr>
      <w:r>
        <w:rPr>
          <w:sz w:val="24"/>
        </w:rPr>
        <w:t xml:space="preserve">1. В договоре доверительного управления имуществом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состав имущества, передаваемого в доверительное управление;</w:t>
      </w:r>
    </w:p>
    <w:p>
      <w:pPr>
        <w:spacing w:after="120"/>
        <w:ind w:firstLine="709"/>
      </w:pPr>
      <w:r>
        <w:rPr>
          <w:sz w:val="24"/>
        </w:rPr>
        <w:t xml:space="preserve">наименование юридического лица или имя гражданина, в интересах которых осуществляется управление имуществом (учредителя управления или выгодоприобретателя);</w:t>
      </w:r>
    </w:p>
    <w:p>
      <w:pPr>
        <w:spacing w:after="120"/>
        <w:ind w:firstLine="709"/>
      </w:pPr>
      <w:r>
        <w:rPr>
          <w:sz w:val="24"/>
        </w:rPr>
        <w:t xml:space="preserve">размер и форма вознаграждения управляющему, если выплата вознаграждения предусмотрена договором;</w:t>
      </w:r>
    </w:p>
    <w:p>
      <w:pPr>
        <w:spacing w:after="120"/>
        <w:ind w:firstLine="709"/>
      </w:pPr>
      <w:r>
        <w:rPr>
          <w:sz w:val="24"/>
        </w:rPr>
        <w:t xml:space="preserve">срок действия договора.</w:t>
      </w:r>
    </w:p>
    <w:p>
      <w:pPr>
        <w:spacing w:after="120"/>
        <w:ind w:firstLine="709"/>
      </w:pPr>
      <w:r>
        <w:rPr>
          <w:sz w:val="24"/>
        </w:rPr>
        <w:t xml:space="preserve">2. Договор доверительного управления имуществом заключается на срок, не превышающий пяти лет. Для отдельных видов имущества, передаваемого в доверительное управление, законом могут быть установлены иные предельные сроки, на которые может быть заключен договор.</w:t>
      </w:r>
    </w:p>
    <w:p>
      <w:pPr>
        <w:spacing w:after="120"/>
        <w:ind w:firstLine="709"/>
      </w:pPr>
      <w:r>
        <w:rPr>
          <w:sz w:val="24"/>
        </w:rPr>
        <w:t xml:space="preserve">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1016</dc:title>
  <dc:creator>АРБИТРАЖ! · arbi.ru</dc:creator>
  <cp:lastModifiedBy>АРБИТРАЖ!</cp:lastModifiedBy>
  <dcterms:created xsi:type="dcterms:W3CDTF">2026-10-22T22:04:06.927Z</dcterms:created>
</cp:coreProperties>
</file>