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1018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53. Доверительное управление имуществом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1018 ГК РФ</w:t>
      </w:r>
    </w:p>
    <w:p>
      <w:pPr>
        <w:spacing w:after="120"/>
        <w:ind w:firstLine="709"/>
      </w:pPr>
      <w:r>
        <w:rPr>
          <w:sz w:val="24"/>
        </w:rPr>
        <w:t xml:space="preserve">- Открытие отдельного банковского счета для расчетов по деятельности, связанной с доверительным управлением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1018 ГК РФ</w:t>
      </w:r>
    </w:p>
    <w:p>
      <w:pPr>
        <w:spacing w:after="120"/>
        <w:ind w:firstLine="709"/>
      </w:pPr>
      <w:r>
        <w:rPr>
          <w:sz w:val="24"/>
        </w:rPr>
        <w:t xml:space="preserve">1. Имущество, переданное в доверительное управление, обособляется от другого имущества учредителя управления, а также от имущества доверительного управляющего. Это имущество отражается у доверительного управляющего на отдельном балансе, и по нему ведется самостоятельный учет. Для расчетов по деятельности, связанной с доверительным управлением, открывается отдельный банковский счет.</w:t>
      </w:r>
    </w:p>
    <w:p>
      <w:pPr>
        <w:spacing w:after="120"/>
        <w:ind w:firstLine="709"/>
      </w:pPr>
      <w:r>
        <w:rPr>
          <w:sz w:val="24"/>
        </w:rPr>
        <w:t xml:space="preserve">2. Обращение взыскания по долгам учредителя управления на имущество, переданное им в доверительное управление, не допускается, за исключением несостоятельности (банкротства) этого лица. При банкротстве учредителя управления доверительное управление этим имуществом прекращается и оно включается в конкурсную массу.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1018</dc:title>
  <dc:creator>АРБИТРАЖ! · arbi.ru</dc:creator>
  <cp:lastModifiedBy>АРБИТРАЖ!</cp:lastModifiedBy>
  <dcterms:created xsi:type="dcterms:W3CDTF">2026-10-22T13:37:36.674Z</dcterms:created>
</cp:coreProperties>
</file>