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1023 ГК РФ</w:t>
      </w:r>
    </w:p>
    <w:p>
      <w:pPr>
        <w:spacing w:after="120"/>
        <w:ind w:firstLine="709"/>
      </w:pPr>
      <w:r>
        <w:rPr>
          <w:sz w:val="24"/>
        </w:rPr>
        <w:t xml:space="preserve">- Установление в договоре вознаграждения доверительному управляющему</w:t>
      </w:r>
    </w:p>
    <w:p>
      <w:pPr>
        <w:spacing w:after="120"/>
        <w:ind w:firstLine="709"/>
      </w:pPr>
      <w:r>
        <w:rPr>
          <w:sz w:val="24"/>
        </w:rPr>
        <w:t xml:space="preserve">- Расходы доверительного управляющего, связанные с управлением имуществом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1023 ГК РФ</w:t>
      </w:r>
    </w:p>
    <w:p>
      <w:pPr>
        <w:spacing w:after="120"/>
        <w:ind w:firstLine="709"/>
      </w:pPr>
      <w:r>
        <w:rPr>
          <w:sz w:val="24"/>
        </w:rPr>
        <w:t xml:space="preserve">Доверительный управляющий имеет право на вознаграждение, предусмотренное договором доверительного управления имуществом, а также на возмещение необходимых расходов, произведенных им при доверительном управлении имуществом, за счет доходов от использования этого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1023</dc:title>
  <dc:creator>АРБИТРАЖ! · arbi.ru</dc:creator>
  <cp:lastModifiedBy>АРБИТРАЖ!</cp:lastModifiedBy>
  <dcterms:created xsi:type="dcterms:W3CDTF">2026-10-22T20:26:30.488Z</dcterms:created>
</cp:coreProperties>
</file>