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54. Коммерческая концессия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Переход к другому лицу какого-либо исключительного права, входящего в предоставленный пользователю комплекс исключительных прав, не является основанием для изменения или расторжения договора коммерческой концессии. Новый правообладатель становится стороной этого договора в части прав и обязанностей, относящихся к перешедшему исключительному праву.</w:t>
      </w:r>
    </w:p>
    <w:p>
      <w:pPr>
        <w:spacing w:after="120"/>
        <w:ind w:firstLine="709"/>
      </w:pPr>
      <w:r>
        <w:rPr>
          <w:sz w:val="24"/>
        </w:rPr>
        <w:t xml:space="preserve">2. В случае смерти правообладателя его права и обязанности по договору коммерческой концессии переходят к наследнику при условии, что он зарегистрирован или в течение шести месяцев со дня открытия наследства зарегистрируется в качестве индивидуального предпринимателя. В противном случае договор прекращается.</w:t>
      </w:r>
    </w:p>
    <w:p>
      <w:pPr>
        <w:spacing w:after="120"/>
        <w:ind w:firstLine="709"/>
      </w:pPr>
      <w:r>
        <w:rPr>
          <w:sz w:val="24"/>
        </w:rPr>
        <w:t xml:space="preserve">Осуществление прав и исполнение обязанностей умершего правообладателя до принятия наследником этих прав и обязанностей или до регистрации наследника в качестве индивидуального предпринимателя осуществляются управляющим, назначаемым нотариусом.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1038</dc:title>
  <dc:creator>АРБИТРАЖ! · arbi.ru</dc:creator>
  <cp:lastModifiedBy>АРБИТРАЖ!</cp:lastModifiedBy>
  <dcterms:created xsi:type="dcterms:W3CDTF">2026-10-22T20:22:56.382Z</dcterms:created>
</cp:coreProperties>
</file>