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1040</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54. Коммерческая концессия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Если в период действия договора коммерческой концессии истек срок действия исключительного права, пользование которым предоставлено по этому договору, либо такое право прекратилось по иному основанию, договор коммерческой концессии продолжает действовать, за исключением положений, относящихся к прекратившемуся праву, а пользователь, если иное не предусмотрено договором, вправе потребовать соразмерного уменьшения причитающегося правообладателю вознаграждения.</w:t>
      </w:r>
    </w:p>
    <w:p>
      <w:pPr>
        <w:spacing w:after="120"/>
        <w:ind w:firstLine="709"/>
      </w:pPr>
      <w:r>
        <w:rPr>
          <w:sz w:val="24"/>
        </w:rPr>
        <w:t xml:space="preserve">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пунктом 3 статьи 1037 и статьей 1039 настоящего Кодекса.</w:t>
      </w:r>
    </w:p>
    <w:p>
      <w:pPr>
        <w:spacing w:after="120"/>
        <w:ind w:firstLine="709"/>
      </w:pPr>
      <w:r>
        <w:rPr>
          <w:sz w:val="24"/>
        </w:rPr>
        <w:t xml:space="preserve">(часть вторая в ред. Федерального закона от 18.12.2006 N 231-ФЗ)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1040</dc:title>
  <dc:creator>АРБИТРАЖ! · arbi.ru</dc:creator>
  <cp:lastModifiedBy>АРБИТРАЖ!</cp:lastModifiedBy>
  <dcterms:created xsi:type="dcterms:W3CDTF">2026-10-22T22:34:31.207Z</dcterms:created>
</cp:coreProperties>
</file>