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1041 ГК РФ</w:t>
      </w:r>
    </w:p>
    <w:p>
      <w:pPr>
        <w:spacing w:after="120"/>
        <w:ind w:firstLine="709"/>
      </w:pPr>
      <w:r>
        <w:rPr>
          <w:sz w:val="24"/>
        </w:rPr>
        <w:t xml:space="preserve">- Товарищ хочет признать недействительным договор простого товарищества (договор о совместной деятельности, договор о сотрудничестве)</w:t>
      </w:r>
    </w:p>
    <w:p>
      <w:pPr>
        <w:spacing w:after="120"/>
        <w:ind w:firstLine="709"/>
      </w:pPr>
      <w:r>
        <w:rPr>
          <w:sz w:val="24"/>
        </w:rPr>
        <w:t xml:space="preserve">1. По договору простого товарищества (договору о совместной деятельности) двое или несколько лиц (товарищей)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цели.</w:t>
      </w:r>
    </w:p>
    <w:p>
      <w:pPr>
        <w:spacing w:after="120"/>
        <w:ind w:firstLine="709"/>
      </w:pPr>
      <w:r>
        <w:rPr>
          <w:sz w:val="24"/>
        </w:rPr>
        <w:t xml:space="preserve">2. Сторонами договора простого товарищества, заключаемого для осуществления предпринимательской деятельности, могут быть только индивидуальные предприниматели и (или) коммерческие организации.</w:t>
      </w:r>
    </w:p>
    <w:p>
      <w:pPr>
        <w:spacing w:after="120"/>
        <w:ind w:firstLine="709"/>
      </w:pPr>
      <w:r>
        <w:rPr>
          <w:sz w:val="24"/>
        </w:rPr>
        <w:t xml:space="preserve">3. Особенности договора простого товарищества, заключаемого для осуществления совместной инвестиционной деятельности (инвестиционного товарищества), устанавливаются Федеральным законом "Об инвестиционном товариществе".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1041</dc:title>
  <dc:creator>АРБИТРАЖ! · arbi.ru</dc:creator>
  <cp:lastModifiedBy>АРБИТРАЖ!</cp:lastModifiedBy>
  <dcterms:created xsi:type="dcterms:W3CDTF">2026-10-22T19:08:27.900Z</dcterms:created>
</cp:coreProperties>
</file>