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Вкладом товарища признается все то, что он вносит в общее дело, в том числе деньги, иное имущество, профессиональные и иные знания, навыки и умения, а также деловая репутация и деловые связи.</w:t>
      </w:r>
    </w:p>
    <w:p>
      <w:pPr>
        <w:spacing w:after="120"/>
        <w:ind w:firstLine="709"/>
      </w:pPr>
      <w:r>
        <w:rPr>
          <w:sz w:val="24"/>
        </w:rPr>
        <w:t xml:space="preserve">2. Вклады товарищей предполагаются равными по стоимости, если иное не следует из договора простого товарищества или фактических обстоятельств. Денежная оценка вклада товарища производится по соглашению между товарищами.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1042</dc:title>
  <dc:creator>АРБИТРАЖ! · arbi.ru</dc:creator>
  <cp:lastModifiedBy>АРБИТРАЖ!</cp:lastModifiedBy>
  <dcterms:created xsi:type="dcterms:W3CDTF">2026-10-22T13:34:36.813Z</dcterms:created>
</cp:coreProperties>
</file>