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1046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55. Простое товарищество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Порядок покрытия расходов и убытков, связанных с совместной деятельностью товарищей, определяется их соглашением. При отсутствии такого соглашения каждый товарищ несет расходы и убытки пропорционально стоимости его вклада в общее дело.</w:t>
      </w:r>
    </w:p>
    <w:p>
      <w:pPr>
        <w:spacing w:after="120"/>
        <w:ind w:firstLine="709"/>
      </w:pPr>
      <w:r>
        <w:rPr>
          <w:sz w:val="24"/>
        </w:rPr>
        <w:t xml:space="preserve">Соглашение, полностью освобождающее кого-либо из товарищей от участия в покрытии общих расходов или убытков, ничтожно.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1046</dc:title>
  <dc:creator>АРБИТРАЖ! · arbi.ru</dc:creator>
  <cp:lastModifiedBy>АРБИТРАЖ!</cp:lastModifiedBy>
  <dcterms:created xsi:type="dcterms:W3CDTF">2026-10-22T10:18:49.731Z</dcterms:created>
</cp:coreProperties>
</file>