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Заявление об отказе товарища от бессрочного договора простого товарищества должно быть сделано им не позднее чем за три месяца до предполагаемого выхода из договора.</w:t>
      </w:r>
    </w:p>
    <w:p>
      <w:pPr>
        <w:spacing w:after="120"/>
        <w:ind w:firstLine="709"/>
      </w:pPr>
      <w:r>
        <w:rPr>
          <w:sz w:val="24"/>
        </w:rPr>
        <w:t xml:space="preserve">Соглашение об ограничении права на отказ от бессрочного договора простого товарищества является ничтожным.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1051</dc:title>
  <dc:creator>АРБИТРАЖ! · arbi.ru</dc:creator>
  <cp:lastModifiedBy>АРБИТРАЖ!</cp:lastModifiedBy>
  <dcterms:created xsi:type="dcterms:W3CDTF">2026-10-22T20:23:00.393Z</dcterms:created>
</cp:coreProperties>
</file>