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1056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56. Публичное обещание награды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объявившее публично о выплате награды, вправе в такой же форме отказаться от данного обещания, кроме случаев, когда в самом объявлении предусмотрена или из него вытекает недопустимость отказа или дан определенный срок для совершения действия, за которое обещана награда, либо к моменту объявления об отказе одно или несколько отозвавшихся лиц уже выполнили указанное в объявлении действие.</w:t>
      </w:r>
    </w:p>
    <w:p>
      <w:pPr>
        <w:spacing w:after="120"/>
        <w:ind w:firstLine="709"/>
      </w:pPr>
      <w:r>
        <w:rPr>
          <w:sz w:val="24"/>
        </w:rPr>
        <w:t xml:space="preserve">2. Отмена публичного обещания награды не освобождает того, кто объявил о награде, от возмещения отозвавшимся лицам расходов, понесенных ими в связи с совершением указанного в объявлении действия, в пределах указанной в объявлении награды.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1056</dc:title>
  <dc:creator>АРБИТРАЖ! · arbi.ru</dc:creator>
  <cp:lastModifiedBy>АРБИТРАЖ!</cp:lastModifiedBy>
  <dcterms:created xsi:type="dcterms:W3CDTF">2026-10-22T20:25:06.816Z</dcterms:created>
</cp:coreProperties>
</file>