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1059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57. Публичный конкурс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 о выплате награды должно быть вынесено и сообщено участникам публичного конкурса в порядке и в сроки, которые установлены в объявлении о конкурсе.</w:t>
      </w:r>
    </w:p>
    <w:p>
      <w:pPr>
        <w:spacing w:after="120"/>
        <w:ind w:firstLine="709"/>
      </w:pPr>
      <w:r>
        <w:rPr>
          <w:sz w:val="24"/>
        </w:rPr>
        <w:t xml:space="preserve">2. Если указанные в объявлении результаты достигнуты в работе, выполненной совместно двумя или более лицами, награда распределяется в соответствии с достигнутым между ними соглашением. В случае, если такое соглашение не будет достигнуто, порядок распределения награды определяется судом.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1059</dc:title>
  <dc:creator>АРБИТРАЖ! · arbi.ru</dc:creator>
  <cp:lastModifiedBy>АРБИТРАЖ!</cp:lastModifiedBy>
  <dcterms:created xsi:type="dcterms:W3CDTF">2026-10-23T00:21:24.258Z</dcterms:created>
</cp:coreProperties>
</file>