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совместно причинившие вред, отвечают перед потерпевшим солидарно.</w:t>
      </w:r>
    </w:p>
    <w:p>
      <w:pPr>
        <w:spacing w:after="120"/>
        <w:ind w:firstLine="709"/>
      </w:pPr>
      <w:r>
        <w:rPr>
          <w:sz w:val="24"/>
        </w:rPr>
        <w:t xml:space="preserve">По заявлению потерпевшего и в его интересах суд вправе возложить на лиц, совместно причинивших вред, ответственность в долях, определив их применительно к правилам, предусмотренным пунктом 2 статьи 1081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Лицо, неправомерно завладевшее чужим имуществом, которое в дальнейшем было повреждено или утрачено вследствие действий другого лица, действовавшего независимо от первого лица, отвечает за причиненный вред. Указанное правило не освобождает непосредственного причинителя вреда от возмещения вреда.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29.07.2018 N 225-ФЗ)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1080</dc:title>
  <dc:creator>АРБИТРАЖ! · arbi.ru</dc:creator>
  <cp:lastModifiedBy>АРБИТРАЖ!</cp:lastModifiedBy>
  <dcterms:created xsi:type="dcterms:W3CDTF">2026-10-22T20:53:37.565Z</dcterms:created>
</cp:coreProperties>
</file>