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1090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Потерпевший, частично утративший трудоспособность, вправе в любое время потребовать от лица, на которое возложена обязанность возмещения вреда, соответствующего увеличения размера его возмещения, если трудоспособность потерпевшего в дальнейшем уменьшилась в связи с причиненным повреждением здоровья по сравнению с той, которая оставалась у него к моменту присуждения ему возмещения вреда.</w:t>
      </w:r>
    </w:p>
    <w:p>
      <w:pPr>
        <w:spacing w:after="120"/>
        <w:ind w:firstLine="709"/>
      </w:pPr>
      <w:r>
        <w:rPr>
          <w:sz w:val="24"/>
        </w:rPr>
        <w:t xml:space="preserve">2. Лицо, на которое возложена обязанность возмещения вреда, причиненного здоровью потерпевшего, вправе потребовать соответствующего уменьшения размера возмещения, если трудоспособность потерпевшего возросла по сравнению с той, которая была у него к моменту присуждения возмещения вреда.</w:t>
      </w:r>
    </w:p>
    <w:p>
      <w:pPr>
        <w:spacing w:after="120"/>
        <w:ind w:firstLine="709"/>
      </w:pPr>
      <w:r>
        <w:rPr>
          <w:sz w:val="24"/>
        </w:rPr>
        <w:t xml:space="preserve">3. Потерпевший вправе требовать увеличения размера возмещения вреда, если имущественное положение гражданина, на которого возложена обязанность возмещения вреда, улучшилось, а размер возмещения был уменьшен в соответствии с пунктом 3 статьи 1083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Суд может по требованию гражданина, причинившего вред, уменьшить размер возмещения вреда, если его имущественное положение в связи с инвалидностью либо достижением пенсионного возраста ухудшилось по сравнению с положением на момент присуждения возмещения вреда, за исключением случаев, когда вред был причинен действиями, совершенными умышленно.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1090</dc:title>
  <dc:creator>АРБИТРАЖ! · arbi.ru</dc:creator>
  <cp:lastModifiedBy>АРБИТРАЖ!</cp:lastModifiedBy>
  <dcterms:created xsi:type="dcterms:W3CDTF">2026-10-22T20:14:33.019Z</dcterms:created>
</cp:coreProperties>
</file>