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Лица, ответственные за вред, вызванный смертью потерпевшего, обязаны возместить необходимые расходы на погребение лицу, понесшему эти расходы.</w:t>
      </w:r>
    </w:p>
    <w:p>
      <w:pPr>
        <w:spacing w:after="120"/>
        <w:ind w:firstLine="709"/>
      </w:pPr>
      <w:r>
        <w:rPr>
          <w:sz w:val="24"/>
        </w:rPr>
        <w:t xml:space="preserve">Пособие на погребение , полученное гражданами, понесшими эти расходы, в счет возмещения вреда не засчитывается.</w:t>
      </w:r>
    </w:p>
    <w:p/>
    <w:p>
      <w:pPr>
        <w:spacing w:after="120"/>
        <w:ind w:firstLine="709"/>
      </w:pPr>
      <w:r>
        <w:rPr>
          <w:sz w:val="24"/>
        </w:rPr>
        <w:t xml:space="preserve">§ 3. Возмещение вреда, причиненного вследствие недостатков товаров, работ или услуг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1094</dc:title>
  <dc:creator>АРБИТРАЖ! · arbi.ru</dc:creator>
  <cp:lastModifiedBy>АРБИТРАЖ!</cp:lastModifiedBy>
  <dcterms:created xsi:type="dcterms:W3CDTF">2026-10-23T01:56:53.195Z</dcterms:created>
</cp:coreProperties>
</file>