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1095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58. Проведение игр и пари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1095 ГК РФ</w:t>
      </w:r>
    </w:p>
    <w:p>
      <w:pPr>
        <w:spacing w:after="120"/>
        <w:ind w:firstLine="709"/>
      </w:pPr>
      <w:r>
        <w:rPr>
          <w:sz w:val="24"/>
        </w:rPr>
        <w:t xml:space="preserve">- Застрахованное лицо хочет взыскать с медицинской организации моральный вред, причиненный в результате оказания некачественной медицинской помощи</w:t>
      </w:r>
    </w:p>
    <w:p>
      <w:pPr>
        <w:spacing w:after="120"/>
        <w:ind w:firstLine="709"/>
      </w:pPr>
      <w:r>
        <w:rPr>
          <w:sz w:val="24"/>
        </w:rPr>
        <w:t xml:space="preserve">Вред, причиненный жизни, здоровью или имуществу гражданина либо имуществу юридического лица вследствие конструктивных, рецептурных или иных недостатков товара, работы или услуги, а также вследствие недостоверной или недостаточной информации о товаре (работе, услуге), подлежит возмещению продавцом или изготовителем товара, лицом, выполнившим работу или оказавшим услугу (исполнителем), независимо от их вины и от того, состоял потерпевший с ними в договорных отношениях или нет.</w:t>
      </w:r>
    </w:p>
    <w:p>
      <w:pPr>
        <w:spacing w:after="120"/>
        <w:ind w:firstLine="709"/>
      </w:pPr>
      <w:r>
        <w:rPr>
          <w:sz w:val="24"/>
        </w:rPr>
        <w:t xml:space="preserve">Правила, предусмотренные настоящей статьей, применяются лишь в случаях приобретения товара (выполнения работы, оказания услуги) в потребительских целях, а не для использования в предпринимательской деятельности.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1095</dc:title>
  <dc:creator>АРБИТРАЖ! · arbi.ru</dc:creator>
  <cp:lastModifiedBy>АРБИТРАЖ!</cp:lastModifiedBy>
  <dcterms:created xsi:type="dcterms:W3CDTF">2026-10-22T11:16:53.212Z</dcterms:created>
</cp:coreProperties>
</file>