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1096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1096 ГК РФ</w:t>
      </w:r>
    </w:p>
    <w:p>
      <w:pPr>
        <w:spacing w:after="120"/>
        <w:ind w:firstLine="709"/>
      </w:pPr>
      <w:r>
        <w:rPr>
          <w:sz w:val="24"/>
        </w:rPr>
        <w:t xml:space="preserve">- Собственник квартиры хочет взыскать ущерб, причиненный из-за некачественных услуг по управлению МКД</w:t>
      </w:r>
    </w:p>
    <w:p>
      <w:pPr>
        <w:spacing w:after="120"/>
        <w:ind w:firstLine="709"/>
      </w:pPr>
      <w:r>
        <w:rPr>
          <w:sz w:val="24"/>
        </w:rPr>
        <w:t xml:space="preserve">1. Вред, причиненный вследствие недостатков товара, подлежит возмещению по выбору потерпевшего продавцом или изготовителем товара.</w:t>
      </w:r>
    </w:p>
    <w:p>
      <w:pPr>
        <w:spacing w:after="120"/>
        <w:ind w:firstLine="709"/>
      </w:pPr>
      <w:r>
        <w:rPr>
          <w:sz w:val="24"/>
        </w:rPr>
        <w:t xml:space="preserve">2. Вред, причиненный вследствие недостатков работы или услуги, подлежит возмещению лицом, выполнившим работу или оказавшим услугу (исполнителем).</w:t>
      </w:r>
    </w:p>
    <w:p>
      <w:pPr>
        <w:spacing w:after="120"/>
        <w:ind w:firstLine="709"/>
      </w:pPr>
      <w:r>
        <w:rPr>
          <w:sz w:val="24"/>
        </w:rPr>
        <w:t xml:space="preserve">3. Вред, причиненный вследствие непредоставления полной или достоверной информации о товаре (работе, услуге), подлежит возмещению лицами, указанными в пунктах 1 и 2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1096</dc:title>
  <dc:creator>АРБИТРАЖ! · arbi.ru</dc:creator>
  <cp:lastModifiedBy>АРБИТРАЖ!</cp:lastModifiedBy>
  <dcterms:created xsi:type="dcterms:W3CDTF">2026-10-22T22:48:23.944Z</dcterms:created>
</cp:coreProperties>
</file>