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Вред, причиненный вследствие недостатков товара, работы или услуги, подлежит возмещению, если он возник в течение установленного срока годности или срока службы товара (работы, услуги), а если срок годности или срок службы не установлен, в течение десяти лет со дня производства товара (работы, услуги).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Независимо от времени причинения вред подлежит возмещению, если:</w:t>
      </w:r>
    </w:p>
    <w:p>
      <w:pPr>
        <w:spacing w:after="120"/>
        <w:ind w:firstLine="709"/>
      </w:pPr>
      <w:r>
        <w:rPr>
          <w:sz w:val="24"/>
        </w:rPr>
        <w:t xml:space="preserve">в нарушение требований закона срок годности или срок службы не установлен;</w:t>
      </w:r>
    </w:p>
    <w:p>
      <w:pPr>
        <w:spacing w:after="120"/>
        <w:ind w:firstLine="709"/>
      </w:pPr>
      <w:r>
        <w:rPr>
          <w:sz w:val="24"/>
        </w:rPr>
        <w:t xml:space="preserve">лицо, которому был продан товар, для которого была выполнена работа или которому была оказана услуга,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(работе, услуге).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1097</dc:title>
  <dc:creator>АРБИТРАЖ! · arbi.ru</dc:creator>
  <cp:lastModifiedBy>АРБИТРАЖ!</cp:lastModifiedBy>
  <dcterms:created xsi:type="dcterms:W3CDTF">2026-10-22T13:35:18.897Z</dcterms:created>
</cp:coreProperties>
</file>