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1101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58. Проведение игр и пари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в суде общей юрисдикции. Ситуации, связанные со ст. 1101 ГК РФ</w:t>
      </w:r>
    </w:p>
    <w:p>
      <w:pPr>
        <w:spacing w:after="120"/>
        <w:ind w:firstLine="709"/>
      </w:pPr>
      <w:r>
        <w:rPr>
          <w:sz w:val="24"/>
        </w:rPr>
        <w:t xml:space="preserve">- Гражданин хочет взыскать компенсацию морального вреда</w:t>
      </w:r>
    </w:p>
    <w:p>
      <w:pPr>
        <w:spacing w:after="120"/>
        <w:ind w:firstLine="709"/>
      </w:pPr>
      <w:r>
        <w:rPr>
          <w:sz w:val="24"/>
        </w:rPr>
        <w:t xml:space="preserve">1. Компенсация морального вреда осуществляется в денежной форме.</w:t>
      </w:r>
    </w:p>
    <w:p>
      <w:pPr>
        <w:spacing w:after="120"/>
        <w:ind w:firstLine="709"/>
      </w:pPr>
      <w:r>
        <w:rPr>
          <w:sz w:val="24"/>
        </w:rPr>
        <w:t xml:space="preserve">2. Размер компенсации морального вреда определяется судом в зависимости от характера причиненных потерпевшему физических и нравственных страданий, а также степени вины причинителя вреда в случаях, когда вина является основанием возмещения вреда. При определении размера компенсации вреда должны учитываться требования разумности и справедливости.</w:t>
      </w:r>
    </w:p>
    <w:p>
      <w:pPr>
        <w:spacing w:after="120"/>
        <w:ind w:firstLine="709"/>
      </w:pPr>
      <w:r>
        <w:rPr>
          <w:sz w:val="24"/>
        </w:rPr>
        <w:t xml:space="preserve">Характер физических и нравственных страданий оценивается судом с учетом фактических обстоятельств , при которых был причинен моральный вред, и индивидуальных особенностей потерпевшего.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1101</dc:title>
  <dc:creator>АРБИТРАЖ! · arbi.ru</dc:creator>
  <cp:lastModifiedBy>АРБИТРАЖ!</cp:lastModifiedBy>
  <dcterms:created xsi:type="dcterms:W3CDTF">2026-10-22T20:23:35.171Z</dcterms:created>
</cp:coreProperties>
</file>