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1108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60. Обязательства вследствие неосновательного обогащения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1108 ГК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(правообладатель) хочет взыскать плату за бездоговорное пользование имуществом или вернуть его</w:t>
      </w:r>
    </w:p>
    <w:p>
      <w:pPr>
        <w:spacing w:after="120"/>
        <w:ind w:firstLine="709"/>
      </w:pPr>
      <w:r>
        <w:rPr>
          <w:sz w:val="24"/>
        </w:rPr>
        <w:t xml:space="preserve">При возврате неосновательно полученного или сбереженного имущества (статья 1104) или возмещении его стоимости (статья 1105) приобретатель вправе требовать от потерпевшего возмещения понесенных необходимых затрат на содержание и сохранение имущества с того времени, с которого он обязан возвратить доходы (пункт 1 статьи 1107) с зачетом полученных им выгод. Право на возмещение затрат утрачивается в случае, когда приобретатель умышленно удерживал имущество, подлежащее возврату.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23.05.2018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1108</dc:title>
  <dc:creator>АРБИТРАЖ! · arbi.ru</dc:creator>
  <cp:lastModifiedBy>АРБИТРАЖ!</cp:lastModifiedBy>
  <dcterms:created xsi:type="dcterms:W3CDTF">2026-10-22T20:24:46.086Z</dcterms:created>
</cp:coreProperties>
</file>