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соответствии с Конституцией Российской Федерации гражданское законодательство находится в ведении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Гражданское законодательство состоит из настоящего Кодекса и принятых в соответствии с ним иных федеральных законов (далее - законы), регулирующих отношения, указанные в пунктах 1 и 2 статьи 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Нормы гражданского права, содержащиеся в других законах, должны соответствовать настоящему Кодексу.</w:t>
      </w:r>
    </w:p>
    <w:p>
      <w:pPr>
        <w:spacing w:after="120"/>
        <w:ind w:firstLine="709"/>
      </w:pPr>
      <w:r>
        <w:rPr>
          <w:sz w:val="24"/>
        </w:rPr>
        <w:t xml:space="preserve">2.1. Внесение изменений в настоящий Кодекс, а также приостановление действия или признание утратившими силу положений настоящего Кодекса осуществляется отдельными законами. Положения, предусматривающие внесение изменений в настоящий Кодекс, приостановление действия или признание утратившими силу положений настоящего Кодекса, не могут быть включены в тексты законов, изменяющих (приостанавливающих действие или признающих утратившими силу) другие законодательные акты Российской Федерации или содержащих самостоятельный предмет правового регулирования.</w:t>
      </w:r>
    </w:p>
    <w:p>
      <w:pPr>
        <w:spacing w:after="120"/>
        <w:ind w:firstLine="709"/>
      </w:pPr>
      <w:r>
        <w:rPr>
          <w:sz w:val="24"/>
        </w:rPr>
        <w:t xml:space="preserve">(п. 2.1 введен Федеральным законом от 28.12.2016 N 497-ФЗ)</w:t>
      </w:r>
    </w:p>
    <w:p>
      <w:pPr>
        <w:spacing w:after="120"/>
        <w:ind w:firstLine="709"/>
      </w:pPr>
      <w:r>
        <w:rPr>
          <w:sz w:val="24"/>
        </w:rPr>
        <w:t xml:space="preserve">3. Отношения, указанные в пунктах 1 и 2 статьи 2 настоящего Кодекса, могут регулироваться также указами Президента Российской Федерации, которые не должны противоречить настоящему Кодексу и иным законам.</w:t>
      </w:r>
    </w:p>
    <w:p>
      <w:pPr>
        <w:spacing w:after="120"/>
        <w:ind w:firstLine="709"/>
      </w:pPr>
      <w:r>
        <w:rPr>
          <w:sz w:val="24"/>
        </w:rPr>
        <w:t xml:space="preserve">4. На основании и во исполнение настоящего Кодекса и иных законов, указов Президента Российской Федерации Правительство Российской Федерации вправе принимать постановления, содержащие нормы гражданского права.</w:t>
      </w:r>
    </w:p>
    <w:p>
      <w:pPr>
        <w:spacing w:after="120"/>
        <w:ind w:firstLine="709"/>
      </w:pPr>
      <w:r>
        <w:rPr>
          <w:sz w:val="24"/>
        </w:rPr>
        <w:t xml:space="preserve">5. В случае противоречия указа Президента Российской Федерации или постановления Правительства Российской Федерации настоящему Кодексу или иному закону применяется настоящий Кодекс или соответствующий закон.</w:t>
      </w:r>
    </w:p>
    <w:p>
      <w:pPr>
        <w:spacing w:after="120"/>
        <w:ind w:firstLine="709"/>
      </w:pPr>
      <w:r>
        <w:rPr>
          <w:sz w:val="24"/>
        </w:rPr>
        <w:t xml:space="preserve">6. Действие и применение норм гражданского права, содержащихся в указах Президента Российской Федерации и постановлениях Правительства Российской Федерации (далее - иные правовые акты), определяются правилами настоящей главы .</w:t>
      </w:r>
    </w:p>
    <w:p>
      <w:pPr>
        <w:spacing w:after="120"/>
        <w:ind w:firstLine="709"/>
      </w:pPr>
      <w:r>
        <w:rPr>
          <w:sz w:val="24"/>
        </w:rPr>
        <w:t xml:space="preserve">7. Министерства и иные федеральные органы исполнительной власти могут издавать акты, содержащие нормы гражданского права, в случаях и в пределах, предусмотренных настоящим Кодексом, другими законами и иными правовыми актами.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</dc:title>
  <dc:creator>АРБИТРАЖ! · arbi.ru</dc:creator>
  <cp:lastModifiedBy>АРБИТРАЖ!</cp:lastModifiedBy>
  <dcterms:created xsi:type="dcterms:W3CDTF">2026-10-22T20:17:48.038Z</dcterms:created>
</cp:coreProperties>
</file>