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1. Гражданское законодательство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Акты гражданского законодательства не имеют обратной силы и применяются к отношениям, возникшим после введения их в действие.</w:t>
      </w:r>
    </w:p>
    <w:p>
      <w:pPr>
        <w:spacing w:after="120"/>
        <w:ind w:firstLine="709"/>
      </w:pPr>
      <w:r>
        <w:rPr>
          <w:sz w:val="24"/>
        </w:rPr>
        <w:t xml:space="preserve">Действие закона распространяется на отношения, возникшие до введения его в действие, только в случаях, когда это прямо предусмотрено законом.</w:t>
      </w:r>
    </w:p>
    <w:p>
      <w:pPr>
        <w:spacing w:after="120"/>
        <w:ind w:firstLine="709"/>
      </w:pPr>
      <w:r>
        <w:rPr>
          <w:sz w:val="24"/>
        </w:rPr>
        <w:t xml:space="preserve">2. По отношениям, возникшим до введения в действие акта гражданского законодательства, он применяется к правам и обязанностям, возникшим после введения его в действие. Отношения сторон по договору, заключенному до введения в действие акта гражданского законодательства, регулируются в соответствии со статьей 422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</dc:title>
  <dc:creator>АРБИТРАЖ! · arbi.ru</dc:creator>
  <cp:lastModifiedBy>АРБИТРАЖ!</cp:lastModifiedBy>
  <dcterms:created xsi:type="dcterms:W3CDTF">2026-10-23T00:21:06.569Z</dcterms:created>
</cp:coreProperties>
</file>