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Общепризнанные принципы и нормы международного права и международные договоры Российской Федерации являются в соответствии с Конституцией Российской Федерации составной частью правовой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Международные договоры Российской Федерации применяются к отношениям, указанным в пунктах 1 и 2 статьи 2 настоящего Кодекса, непосредственно, кроме случаев, когда из международного договора следует, что для его применения требуется издание внутригосударственного акта.</w:t>
      </w:r>
    </w:p>
    <w:p>
      <w:pPr>
        <w:spacing w:after="120"/>
        <w:ind w:firstLine="709"/>
      </w:pPr>
      <w:r>
        <w:rPr>
          <w:sz w:val="24"/>
        </w:rPr>
        <w:t xml:space="preserve">Если международным договором Российской Федерации установлены иные правила, чем те, которые предусмотрены гражданским законодательством, применяются правила международного договора.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</dc:title>
  <dc:creator>АРБИТРАЖ! · arbi.ru</dc:creator>
  <cp:lastModifiedBy>АРБИТРАЖ!</cp:lastModifiedBy>
  <dcterms:created xsi:type="dcterms:W3CDTF">2026-10-23T00:44:15.889Z</dcterms:created>
</cp:coreProperties>
</file>