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Граждане и юридические лица по своему усмотрению осуществляют принадлежащие им гражданские права.</w:t>
      </w:r>
    </w:p>
    <w:p>
      <w:pPr>
        <w:spacing w:after="120"/>
        <w:ind w:firstLine="709"/>
      </w:pPr>
      <w:r>
        <w:rPr>
          <w:sz w:val="24"/>
        </w:rPr>
        <w:t xml:space="preserve">2. Отказ граждан и юридических лиц от осуществления принадлежащих им прав не влечет прекращения этих прав, за исключением случаев, предусмотренных законом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9</dc:title>
  <dc:creator>АРБИТРАЖ! · arbi.ru</dc:creator>
  <cp:lastModifiedBy>АРБИТРАЖ!</cp:lastModifiedBy>
  <dcterms:created xsi:type="dcterms:W3CDTF">2026-10-22T22:33:55.122Z</dcterms:created>
</cp:coreProperties>
</file>