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Ненормативный акт государственного органа или органа местного самоуправления, а в случаях, предусмотренных законом , также нормативный акт , не соответствующие закону или иным правовым актам и нарушающие гражданские права и охраняемые законом интересы гражданина или юридического лица, могут быть признаны судом недействительными.</w:t>
      </w:r>
    </w:p>
    <w:p>
      <w:pPr>
        <w:spacing w:after="120"/>
        <w:ind w:firstLine="709"/>
      </w:pPr>
      <w:r>
        <w:rPr>
          <w:sz w:val="24"/>
        </w:rPr>
        <w:t xml:space="preserve">В случае признания судом акта недействительным нарушенное право подлежит восстановлению либо защите иными способами, предусмотренными статьей 12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</dc:title>
  <dc:creator>АРБИТРАЖ! · arbi.ru</dc:creator>
  <cp:lastModifiedBy>АРБИТРАЖ!</cp:lastModifiedBy>
  <dcterms:created xsi:type="dcterms:W3CDTF">2026-10-22T13:35:18.006Z</dcterms:created>
</cp:coreProperties>
</file>