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Убытки, причиненные гражданину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акту акта государственного органа или органа местного самоуправления, подлежат возмещению Российской Федерацией, соответствующим субъектом Российской Федерации или муниципальным образованием.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</dc:title>
  <dc:creator>АРБИТРАЖ! · arbi.ru</dc:creator>
  <cp:lastModifiedBy>АРБИТРАЖ!</cp:lastModifiedBy>
  <dcterms:created xsi:type="dcterms:W3CDTF">2026-10-22T18:24:19.840Z</dcterms:created>
</cp:coreProperties>
</file>