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30.12.2012 N 302-ФЗ)</w:t>
      </w:r>
    </w:p>
    <w:p>
      <w:pPr>
        <w:spacing w:after="120"/>
        <w:ind w:firstLine="709"/>
      </w:pPr>
      <w:r>
        <w:rPr>
          <w:sz w:val="24"/>
        </w:rPr>
        <w:t xml:space="preserve">В случаях и в порядке, которые предусмотрены законом , ущерб, причиненный личности или имуществу гражданина либо имуществу юридического лица правомерными действиями государственных органов, органов местного самоуправления или должностных лиц этих органов, а также иных лиц, которым государством делегированы властные полномочия, подлежит компенсации.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16.1</dc:title>
  <dc:creator>АРБИТРАЖ! · arbi.ru</dc:creator>
  <cp:lastModifiedBy>АРБИТРАЖ!</cp:lastModifiedBy>
  <dcterms:created xsi:type="dcterms:W3CDTF">2026-10-22T23:39:01.123Z</dcterms:created>
</cp:coreProperties>
</file>