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Способность иметь гражданские права и нести обязанности (гражданская правоспособность) признается в равной мере за всеми гражданами.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2 ст. 17 см. Постановление КС РФ от 02.03.2023 N 7-П.</w:t>
      </w:r>
    </w:p>
    <w:p>
      <w:pPr>
        <w:spacing w:after="120"/>
        <w:ind w:firstLine="709"/>
      </w:pPr>
      <w:r>
        <w:rPr>
          <w:sz w:val="24"/>
        </w:rPr>
        <w:t xml:space="preserve">2. Правоспособность гражданина возникает в момент его рождения и прекращается смертью.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17</dc:title>
  <dc:creator>АРБИТРАЖ! · arbi.ru</dc:creator>
  <cp:lastModifiedBy>АРБИТРАЖ!</cp:lastModifiedBy>
  <dcterms:created xsi:type="dcterms:W3CDTF">2026-10-22T20:20:23.588Z</dcterms:created>
</cp:coreProperties>
</file>