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Гражданин отвечает по своим обязательствам всем принадлежащим ему имуществом, за исключением имущества, на которое в соответствии с законом не может быть обращено взыскание.</w:t>
      </w:r>
    </w:p>
    <w:p>
      <w:pPr>
        <w:spacing w:after="120"/>
        <w:ind w:firstLine="709"/>
      </w:pPr>
      <w:r>
        <w:rPr>
          <w:sz w:val="24"/>
        </w:rPr>
        <w:t xml:space="preserve">Перечень имущества граждан, на которое не может быть обращено взыскание, устанавливается гражданским процессуальным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</dc:title>
  <dc:creator>АРБИТРАЖ! · arbi.ru</dc:creator>
  <cp:lastModifiedBy>АРБИТРАЖ!</cp:lastModifiedBy>
  <dcterms:created xsi:type="dcterms:W3CDTF">2026-10-22T20:23:50.211Z</dcterms:created>
</cp:coreProperties>
</file>